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DB48B" w14:textId="77777777" w:rsidR="004078D1" w:rsidRDefault="004078D1" w:rsidP="00CC29F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D8B1DB7" w14:textId="2A2A1B15" w:rsidR="00B85BC7" w:rsidRPr="00CC29FA" w:rsidRDefault="00B85BC7" w:rsidP="00CC29F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C29FA">
        <w:rPr>
          <w:rFonts w:ascii="Arial" w:hAnsi="Arial" w:cs="Arial"/>
          <w:b/>
          <w:bCs/>
          <w:sz w:val="24"/>
          <w:szCs w:val="24"/>
          <w:u w:val="single"/>
        </w:rPr>
        <w:t>Statement of Payments</w:t>
      </w:r>
      <w:r w:rsidR="00CC29FA" w:rsidRPr="00CC29FA">
        <w:rPr>
          <w:rFonts w:ascii="Arial" w:hAnsi="Arial" w:cs="Arial"/>
          <w:b/>
          <w:bCs/>
          <w:sz w:val="24"/>
          <w:szCs w:val="24"/>
          <w:u w:val="single"/>
        </w:rPr>
        <w:t xml:space="preserve"> made to Members of Caerphilly Town Council  for the Financial Year April 2024 to March 2025</w:t>
      </w:r>
    </w:p>
    <w:p w14:paraId="3C233593" w14:textId="77777777" w:rsidR="00B85BC7" w:rsidRDefault="00B85BC7">
      <w:pPr>
        <w:rPr>
          <w:rFonts w:ascii="Arial" w:hAnsi="Arial" w:cs="Arial"/>
          <w:sz w:val="24"/>
          <w:szCs w:val="24"/>
        </w:rPr>
      </w:pPr>
    </w:p>
    <w:p w14:paraId="1F433F42" w14:textId="2B65304E" w:rsidR="002148E9" w:rsidRDefault="00B85BC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Section 151 </w:t>
      </w:r>
      <w:r w:rsidR="00CC29FA">
        <w:rPr>
          <w:rFonts w:ascii="Arial" w:hAnsi="Arial" w:cs="Arial"/>
          <w:sz w:val="24"/>
          <w:szCs w:val="24"/>
        </w:rPr>
        <w:t>of the Local Government Measure 2011,</w:t>
      </w:r>
      <w:proofErr w:type="gramEnd"/>
      <w:r w:rsidR="00CC29FA">
        <w:rPr>
          <w:rFonts w:ascii="Arial" w:hAnsi="Arial" w:cs="Arial"/>
          <w:sz w:val="24"/>
          <w:szCs w:val="24"/>
        </w:rPr>
        <w:t xml:space="preserve"> requires Community and Town Councils to publish, within their authority area, the remuneration received by the members by 30</w:t>
      </w:r>
      <w:r w:rsidR="00472097">
        <w:rPr>
          <w:rFonts w:ascii="Arial" w:hAnsi="Arial" w:cs="Arial"/>
          <w:sz w:val="24"/>
          <w:szCs w:val="24"/>
          <w:vertAlign w:val="superscript"/>
        </w:rPr>
        <w:t xml:space="preserve">th </w:t>
      </w:r>
      <w:r w:rsidR="00CC29FA">
        <w:rPr>
          <w:rFonts w:ascii="Arial" w:hAnsi="Arial" w:cs="Arial"/>
          <w:sz w:val="24"/>
          <w:szCs w:val="24"/>
        </w:rPr>
        <w:t xml:space="preserve">September following the end of the previous financial year.  </w:t>
      </w:r>
      <w:r w:rsidR="00735071">
        <w:rPr>
          <w:rFonts w:ascii="Arial" w:hAnsi="Arial" w:cs="Arial"/>
          <w:sz w:val="24"/>
          <w:szCs w:val="24"/>
        </w:rPr>
        <w:t xml:space="preserve">This information must also be sent </w:t>
      </w:r>
      <w:r w:rsidR="006B4CC0">
        <w:rPr>
          <w:rFonts w:ascii="Arial" w:hAnsi="Arial" w:cs="Arial"/>
          <w:sz w:val="24"/>
          <w:szCs w:val="24"/>
        </w:rPr>
        <w:t xml:space="preserve">to the </w:t>
      </w:r>
      <w:r w:rsidR="00706B15">
        <w:rPr>
          <w:rFonts w:ascii="Arial" w:hAnsi="Arial" w:cs="Arial"/>
          <w:sz w:val="24"/>
          <w:szCs w:val="24"/>
        </w:rPr>
        <w:t xml:space="preserve">Democracy </w:t>
      </w:r>
      <w:r w:rsidR="00C1447A">
        <w:rPr>
          <w:rFonts w:ascii="Arial" w:hAnsi="Arial" w:cs="Arial"/>
          <w:sz w:val="24"/>
          <w:szCs w:val="24"/>
        </w:rPr>
        <w:t xml:space="preserve">and Boundary Commission </w:t>
      </w:r>
      <w:r w:rsidR="00AE6B64">
        <w:rPr>
          <w:rFonts w:ascii="Arial" w:hAnsi="Arial" w:cs="Arial"/>
          <w:sz w:val="24"/>
          <w:szCs w:val="24"/>
        </w:rPr>
        <w:t>Cymru (DDBC)</w:t>
      </w:r>
      <w:r w:rsidR="00A46B19">
        <w:rPr>
          <w:rFonts w:ascii="Arial" w:hAnsi="Arial" w:cs="Arial"/>
          <w:sz w:val="24"/>
          <w:szCs w:val="24"/>
        </w:rPr>
        <w:t xml:space="preserve"> by the same date.  </w:t>
      </w:r>
      <w:r w:rsidR="00442A82">
        <w:rPr>
          <w:rFonts w:ascii="Arial" w:hAnsi="Arial" w:cs="Arial"/>
          <w:sz w:val="24"/>
          <w:szCs w:val="24"/>
        </w:rPr>
        <w:t>Nil returns are also required</w:t>
      </w:r>
      <w:r w:rsidR="001635D1">
        <w:rPr>
          <w:rFonts w:ascii="Arial" w:hAnsi="Arial" w:cs="Arial"/>
          <w:sz w:val="24"/>
          <w:szCs w:val="24"/>
        </w:rPr>
        <w:t xml:space="preserve">.  A copy of </w:t>
      </w:r>
      <w:r w:rsidR="006B3A76">
        <w:rPr>
          <w:rFonts w:ascii="Arial" w:hAnsi="Arial" w:cs="Arial"/>
          <w:sz w:val="24"/>
          <w:szCs w:val="24"/>
        </w:rPr>
        <w:t>statement to be shared with Audit Wales</w:t>
      </w:r>
      <w:r w:rsidR="00AA1E9A">
        <w:rPr>
          <w:rFonts w:ascii="Arial" w:hAnsi="Arial" w:cs="Arial"/>
          <w:sz w:val="24"/>
          <w:szCs w:val="24"/>
        </w:rPr>
        <w:t xml:space="preserve"> to ensure compliance.</w:t>
      </w:r>
    </w:p>
    <w:p w14:paraId="3895EDF4" w14:textId="77777777" w:rsidR="00B85BC7" w:rsidRDefault="00B85BC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4997" w:type="pct"/>
        <w:tblLook w:val="04A0" w:firstRow="1" w:lastRow="0" w:firstColumn="1" w:lastColumn="0" w:noHBand="0" w:noVBand="1"/>
      </w:tblPr>
      <w:tblGrid>
        <w:gridCol w:w="2566"/>
        <w:gridCol w:w="2562"/>
        <w:gridCol w:w="1673"/>
        <w:gridCol w:w="1559"/>
        <w:gridCol w:w="1984"/>
        <w:gridCol w:w="5035"/>
      </w:tblGrid>
      <w:tr w:rsidR="00910504" w14:paraId="68E320D0" w14:textId="77777777" w:rsidTr="00787844">
        <w:tc>
          <w:tcPr>
            <w:tcW w:w="834" w:type="pct"/>
          </w:tcPr>
          <w:p w14:paraId="3417F56B" w14:textId="6E4945A8" w:rsidR="00910504" w:rsidRPr="00BF3B02" w:rsidRDefault="009105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3B02">
              <w:rPr>
                <w:rFonts w:ascii="Arial" w:hAnsi="Arial" w:cs="Arial"/>
                <w:b/>
                <w:bCs/>
                <w:sz w:val="24"/>
                <w:szCs w:val="24"/>
              </w:rPr>
              <w:t>Name of Community &amp; Town Council</w:t>
            </w:r>
          </w:p>
        </w:tc>
        <w:tc>
          <w:tcPr>
            <w:tcW w:w="833" w:type="pct"/>
          </w:tcPr>
          <w:p w14:paraId="162EE510" w14:textId="13E13309" w:rsidR="00910504" w:rsidRPr="00BF3B02" w:rsidRDefault="009105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3B02">
              <w:rPr>
                <w:rFonts w:ascii="Arial" w:hAnsi="Arial" w:cs="Arial"/>
                <w:b/>
                <w:bCs/>
                <w:sz w:val="24"/>
                <w:szCs w:val="24"/>
              </w:rPr>
              <w:t>Local Authority Area (County)</w:t>
            </w:r>
          </w:p>
        </w:tc>
        <w:tc>
          <w:tcPr>
            <w:tcW w:w="544" w:type="pct"/>
          </w:tcPr>
          <w:p w14:paraId="20164C77" w14:textId="4C4F8ED5" w:rsidR="00910504" w:rsidRPr="00BF3B02" w:rsidRDefault="009105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3B02">
              <w:rPr>
                <w:rFonts w:ascii="Arial" w:hAnsi="Arial" w:cs="Arial"/>
                <w:b/>
                <w:bCs/>
                <w:sz w:val="24"/>
                <w:szCs w:val="24"/>
              </w:rPr>
              <w:t>Date return Submitted to DBCC</w:t>
            </w:r>
          </w:p>
        </w:tc>
        <w:tc>
          <w:tcPr>
            <w:tcW w:w="507" w:type="pct"/>
          </w:tcPr>
          <w:p w14:paraId="128026CF" w14:textId="4D470C6F" w:rsidR="00910504" w:rsidRPr="00BF3B02" w:rsidRDefault="009105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3B02">
              <w:rPr>
                <w:rFonts w:ascii="Arial" w:hAnsi="Arial" w:cs="Arial"/>
                <w:b/>
                <w:bCs/>
                <w:sz w:val="24"/>
                <w:szCs w:val="24"/>
              </w:rPr>
              <w:t>NIL Return</w:t>
            </w:r>
          </w:p>
        </w:tc>
        <w:tc>
          <w:tcPr>
            <w:tcW w:w="645" w:type="pct"/>
          </w:tcPr>
          <w:p w14:paraId="595D81CE" w14:textId="4AAE9645" w:rsidR="00910504" w:rsidRPr="00BF3B02" w:rsidRDefault="009105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3B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Group 1-5 </w:t>
            </w:r>
            <w:r w:rsidR="00390180">
              <w:rPr>
                <w:rFonts w:ascii="Arial" w:hAnsi="Arial" w:cs="Arial"/>
                <w:b/>
                <w:bCs/>
                <w:sz w:val="24"/>
                <w:szCs w:val="24"/>
              </w:rPr>
              <w:t>(s</w:t>
            </w:r>
            <w:r w:rsidRPr="00BF3B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tate </w:t>
            </w:r>
            <w:r w:rsidR="00390180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BF3B02">
              <w:rPr>
                <w:rFonts w:ascii="Arial" w:hAnsi="Arial" w:cs="Arial"/>
                <w:b/>
                <w:bCs/>
                <w:sz w:val="24"/>
                <w:szCs w:val="24"/>
              </w:rPr>
              <w:t>umber</w:t>
            </w:r>
            <w:r w:rsidR="00390180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37" w:type="pct"/>
          </w:tcPr>
          <w:p w14:paraId="12C4EAC2" w14:textId="77777777" w:rsidR="00910504" w:rsidRPr="00BF3B02" w:rsidRDefault="009105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15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Total cost</w:t>
            </w:r>
            <w:r w:rsidRPr="00BF3B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allowances </w:t>
            </w:r>
            <w:r w:rsidRPr="002915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paid to</w:t>
            </w:r>
            <w:r w:rsidRPr="00BF3B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F3B02" w:rsidRPr="00BF3B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Councillors each in receipt of £156 </w:t>
            </w:r>
          </w:p>
          <w:p w14:paraId="734994EC" w14:textId="36E2465C" w:rsidR="00BF3B02" w:rsidRDefault="00BF3B02">
            <w:pPr>
              <w:rPr>
                <w:rFonts w:ascii="Arial" w:hAnsi="Arial" w:cs="Arial"/>
                <w:sz w:val="24"/>
                <w:szCs w:val="24"/>
              </w:rPr>
            </w:pPr>
            <w:r w:rsidRPr="00BF3B02">
              <w:rPr>
                <w:rFonts w:ascii="Arial" w:hAnsi="Arial" w:cs="Arial"/>
                <w:b/>
                <w:bCs/>
                <w:sz w:val="24"/>
                <w:szCs w:val="24"/>
              </w:rPr>
              <w:t>Payment</w:t>
            </w:r>
            <w:r w:rsidR="00103A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F3B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 w:rsidR="00103AD9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F3B02">
              <w:rPr>
                <w:rFonts w:ascii="Arial" w:hAnsi="Arial" w:cs="Arial"/>
                <w:b/>
                <w:bCs/>
                <w:sz w:val="24"/>
                <w:szCs w:val="24"/>
              </w:rPr>
              <w:t>o recognise councillors incur costs to do their role</w:t>
            </w:r>
          </w:p>
        </w:tc>
      </w:tr>
      <w:tr w:rsidR="00910504" w14:paraId="1EB3A2EE" w14:textId="77777777" w:rsidTr="00787844">
        <w:tc>
          <w:tcPr>
            <w:tcW w:w="834" w:type="pct"/>
          </w:tcPr>
          <w:p w14:paraId="6C6EA7CC" w14:textId="755BE04E" w:rsidR="00910504" w:rsidRDefault="00BF3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Caerphilly Town Council</w:t>
            </w:r>
          </w:p>
        </w:tc>
        <w:tc>
          <w:tcPr>
            <w:tcW w:w="833" w:type="pct"/>
          </w:tcPr>
          <w:p w14:paraId="6C282DF3" w14:textId="014C614A" w:rsidR="00910504" w:rsidRDefault="00BF3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Caerphilly </w:t>
            </w:r>
            <w:r w:rsidR="009A30A0">
              <w:rPr>
                <w:rFonts w:ascii="Arial" w:hAnsi="Arial" w:cs="Arial"/>
                <w:sz w:val="24"/>
                <w:szCs w:val="24"/>
              </w:rPr>
              <w:t>County Borough</w:t>
            </w:r>
          </w:p>
        </w:tc>
        <w:tc>
          <w:tcPr>
            <w:tcW w:w="544" w:type="pct"/>
          </w:tcPr>
          <w:p w14:paraId="5C77B265" w14:textId="2D2AD4F1" w:rsidR="00910504" w:rsidRDefault="00BF3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 – 0</w:t>
            </w:r>
            <w:r w:rsidR="00D434F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25</w:t>
            </w:r>
          </w:p>
        </w:tc>
        <w:tc>
          <w:tcPr>
            <w:tcW w:w="507" w:type="pct"/>
          </w:tcPr>
          <w:p w14:paraId="7703B4EA" w14:textId="07807593" w:rsidR="00910504" w:rsidRDefault="00BF3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applicable</w:t>
            </w:r>
          </w:p>
        </w:tc>
        <w:tc>
          <w:tcPr>
            <w:tcW w:w="645" w:type="pct"/>
          </w:tcPr>
          <w:p w14:paraId="6440683F" w14:textId="42CE44AE" w:rsidR="00910504" w:rsidRDefault="00BF3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Group 2</w:t>
            </w:r>
          </w:p>
        </w:tc>
        <w:tc>
          <w:tcPr>
            <w:tcW w:w="1637" w:type="pct"/>
          </w:tcPr>
          <w:p w14:paraId="15EC20D1" w14:textId="44F78CED" w:rsidR="00910504" w:rsidRDefault="00BF3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£1,716.00</w:t>
            </w:r>
          </w:p>
        </w:tc>
      </w:tr>
    </w:tbl>
    <w:p w14:paraId="04B71B6F" w14:textId="77777777" w:rsidR="00BF3B02" w:rsidRDefault="00BF3B0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4997" w:type="pct"/>
        <w:tblLook w:val="04A0" w:firstRow="1" w:lastRow="0" w:firstColumn="1" w:lastColumn="0" w:noHBand="0" w:noVBand="1"/>
      </w:tblPr>
      <w:tblGrid>
        <w:gridCol w:w="2688"/>
        <w:gridCol w:w="2836"/>
        <w:gridCol w:w="2408"/>
        <w:gridCol w:w="3119"/>
        <w:gridCol w:w="1984"/>
        <w:gridCol w:w="2344"/>
      </w:tblGrid>
      <w:tr w:rsidR="00BF3B02" w14:paraId="3DC60726" w14:textId="77777777" w:rsidTr="00F52319">
        <w:tc>
          <w:tcPr>
            <w:tcW w:w="874" w:type="pct"/>
          </w:tcPr>
          <w:p w14:paraId="300CC8CB" w14:textId="39621DD9" w:rsidR="00BF3B02" w:rsidRPr="00BC3A3A" w:rsidRDefault="008106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090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Total cost</w:t>
            </w:r>
            <w:r w:rsidRPr="00BC3A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allowances </w:t>
            </w:r>
            <w:r w:rsidR="00F45F92" w:rsidRPr="0063090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PAID TO</w:t>
            </w:r>
            <w:r w:rsidR="00F45F92" w:rsidRPr="00BC3A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C3A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Councillors in receipt of £52 payment  - </w:t>
            </w:r>
            <w:r w:rsidR="00B528CF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BC3A3A">
              <w:rPr>
                <w:rFonts w:ascii="Arial" w:hAnsi="Arial" w:cs="Arial"/>
                <w:b/>
                <w:bCs/>
                <w:sz w:val="24"/>
                <w:szCs w:val="24"/>
              </w:rPr>
              <w:t>ayment for costs incurred in respect of telephone, broadband etc</w:t>
            </w:r>
          </w:p>
        </w:tc>
        <w:tc>
          <w:tcPr>
            <w:tcW w:w="922" w:type="pct"/>
          </w:tcPr>
          <w:p w14:paraId="757FE650" w14:textId="4FCAABEE" w:rsidR="00BF3B02" w:rsidRPr="00BC3A3A" w:rsidRDefault="008106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3A3A">
              <w:rPr>
                <w:rFonts w:ascii="Arial" w:hAnsi="Arial" w:cs="Arial"/>
                <w:b/>
                <w:bCs/>
                <w:sz w:val="24"/>
                <w:szCs w:val="24"/>
              </w:rPr>
              <w:t>Responsibility payment (up to £500 to a maximin of 5 members) - £</w:t>
            </w:r>
          </w:p>
        </w:tc>
        <w:tc>
          <w:tcPr>
            <w:tcW w:w="783" w:type="pct"/>
          </w:tcPr>
          <w:p w14:paraId="46B391B5" w14:textId="0387FF66" w:rsidR="00BF3B02" w:rsidRPr="00BC3A3A" w:rsidRDefault="008106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3A3A">
              <w:rPr>
                <w:rFonts w:ascii="Arial" w:hAnsi="Arial" w:cs="Arial"/>
                <w:b/>
                <w:bCs/>
                <w:sz w:val="24"/>
                <w:szCs w:val="24"/>
              </w:rPr>
              <w:t>Chair / Mayor of the Council allowance Chair or Mayor’s personal payment.  This excludes any Civic Budget for their extra work</w:t>
            </w:r>
          </w:p>
        </w:tc>
        <w:tc>
          <w:tcPr>
            <w:tcW w:w="1014" w:type="pct"/>
          </w:tcPr>
          <w:p w14:paraId="71E9B653" w14:textId="708C1F1F" w:rsidR="00BF3B02" w:rsidRPr="00BC3A3A" w:rsidRDefault="00BC3A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3A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Vice Chair / Deputy Mayor of the Council allowance.  This excludes any </w:t>
            </w:r>
            <w:r w:rsidR="00710F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Civic </w:t>
            </w:r>
            <w:r w:rsidRPr="00BC3A3A">
              <w:rPr>
                <w:rFonts w:ascii="Arial" w:hAnsi="Arial" w:cs="Arial"/>
                <w:b/>
                <w:bCs/>
                <w:sz w:val="24"/>
                <w:szCs w:val="24"/>
              </w:rPr>
              <w:t>Budget for their extra work.</w:t>
            </w:r>
          </w:p>
        </w:tc>
        <w:tc>
          <w:tcPr>
            <w:tcW w:w="645" w:type="pct"/>
          </w:tcPr>
          <w:p w14:paraId="2E048BBC" w14:textId="0A22394F" w:rsidR="00BF3B02" w:rsidRPr="00BC3A3A" w:rsidRDefault="00BC3A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3A3A">
              <w:rPr>
                <w:rFonts w:ascii="Arial" w:hAnsi="Arial" w:cs="Arial"/>
                <w:b/>
                <w:bCs/>
                <w:sz w:val="24"/>
                <w:szCs w:val="24"/>
              </w:rPr>
              <w:t>Financial Loss Allowances</w:t>
            </w:r>
          </w:p>
        </w:tc>
        <w:tc>
          <w:tcPr>
            <w:tcW w:w="762" w:type="pct"/>
          </w:tcPr>
          <w:p w14:paraId="7F716F41" w14:textId="32989F19" w:rsidR="00BF3B02" w:rsidRPr="00BC3A3A" w:rsidRDefault="00BC3A3A" w:rsidP="00BC3A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3A3A">
              <w:rPr>
                <w:rFonts w:ascii="Arial" w:hAnsi="Arial" w:cs="Arial"/>
                <w:b/>
                <w:bCs/>
                <w:sz w:val="24"/>
                <w:szCs w:val="24"/>
              </w:rPr>
              <w:t>T &amp; S expenses reimbursed  Total for all members</w:t>
            </w:r>
          </w:p>
        </w:tc>
      </w:tr>
      <w:tr w:rsidR="00BF3B02" w14:paraId="1C651985" w14:textId="77777777" w:rsidTr="00F52319">
        <w:tc>
          <w:tcPr>
            <w:tcW w:w="874" w:type="pct"/>
          </w:tcPr>
          <w:p w14:paraId="710D246E" w14:textId="255ACBFA" w:rsidR="00BF3B02" w:rsidRDefault="008106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£572.00</w:t>
            </w:r>
          </w:p>
        </w:tc>
        <w:tc>
          <w:tcPr>
            <w:tcW w:w="922" w:type="pct"/>
          </w:tcPr>
          <w:p w14:paraId="203B71D2" w14:textId="0F988ADA" w:rsidR="00BF3B02" w:rsidRDefault="008106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  <w:tc>
          <w:tcPr>
            <w:tcW w:w="783" w:type="pct"/>
          </w:tcPr>
          <w:p w14:paraId="238A4175" w14:textId="1E6855B5" w:rsidR="00BF3B02" w:rsidRDefault="00BC3A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£900.00</w:t>
            </w:r>
          </w:p>
        </w:tc>
        <w:tc>
          <w:tcPr>
            <w:tcW w:w="1014" w:type="pct"/>
          </w:tcPr>
          <w:p w14:paraId="09FDF9E0" w14:textId="0F320E29" w:rsidR="00BF3B02" w:rsidRDefault="00BC3A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  <w:tc>
          <w:tcPr>
            <w:tcW w:w="645" w:type="pct"/>
          </w:tcPr>
          <w:p w14:paraId="6F67CE14" w14:textId="040EDB49" w:rsidR="00BF3B02" w:rsidRDefault="00BC3A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  <w:tc>
          <w:tcPr>
            <w:tcW w:w="762" w:type="pct"/>
          </w:tcPr>
          <w:p w14:paraId="7C59CEF2" w14:textId="6C64D060" w:rsidR="00BF3B02" w:rsidRDefault="00BC3A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</w:tr>
    </w:tbl>
    <w:p w14:paraId="56194A2C" w14:textId="77777777" w:rsidR="00BF3B02" w:rsidRDefault="00BF3B0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4997" w:type="pct"/>
        <w:tblLook w:val="04A0" w:firstRow="1" w:lastRow="0" w:firstColumn="1" w:lastColumn="0" w:noHBand="0" w:noVBand="1"/>
      </w:tblPr>
      <w:tblGrid>
        <w:gridCol w:w="2566"/>
        <w:gridCol w:w="4518"/>
        <w:gridCol w:w="1559"/>
        <w:gridCol w:w="1612"/>
        <w:gridCol w:w="2562"/>
        <w:gridCol w:w="2562"/>
      </w:tblGrid>
      <w:tr w:rsidR="00BC3A3A" w14:paraId="1BFEE268" w14:textId="77777777" w:rsidTr="00DB23A2">
        <w:tc>
          <w:tcPr>
            <w:tcW w:w="834" w:type="pct"/>
          </w:tcPr>
          <w:p w14:paraId="70051D11" w14:textId="40F25FA1" w:rsidR="00BC3A3A" w:rsidRPr="00F11463" w:rsidRDefault="00BC3A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14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Attendance Allowance paid to all members (£30 per member, per </w:t>
            </w:r>
            <w:r w:rsidR="00D5444E" w:rsidRPr="00F11463">
              <w:rPr>
                <w:rFonts w:ascii="Arial" w:hAnsi="Arial" w:cs="Arial"/>
                <w:b/>
                <w:bCs/>
                <w:sz w:val="24"/>
                <w:szCs w:val="24"/>
              </w:rPr>
              <w:t>Council meeting</w:t>
            </w:r>
            <w:r w:rsidR="009801F2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69" w:type="pct"/>
          </w:tcPr>
          <w:p w14:paraId="09529110" w14:textId="77777777" w:rsidR="00BC3A3A" w:rsidRDefault="001928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1463">
              <w:rPr>
                <w:rFonts w:ascii="Arial" w:hAnsi="Arial" w:cs="Arial"/>
                <w:b/>
                <w:bCs/>
                <w:sz w:val="24"/>
                <w:szCs w:val="24"/>
              </w:rPr>
              <w:t>Contribution</w:t>
            </w:r>
            <w:r w:rsidR="00706996" w:rsidRPr="00F114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Costs of Care and Personal Assistance</w:t>
            </w:r>
            <w:r w:rsidR="008834DA" w:rsidRPr="00F114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(CPA)</w:t>
            </w:r>
          </w:p>
          <w:p w14:paraId="69F8EC98" w14:textId="77777777" w:rsidR="001E4AE4" w:rsidRPr="00F11463" w:rsidRDefault="001E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38FF47" w14:textId="16EEA0E4" w:rsidR="001775CC" w:rsidRDefault="001775CC">
            <w:pPr>
              <w:rPr>
                <w:rFonts w:ascii="Arial" w:hAnsi="Arial" w:cs="Arial"/>
                <w:sz w:val="24"/>
                <w:szCs w:val="24"/>
              </w:rPr>
            </w:pPr>
            <w:r w:rsidRPr="00F114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reimbursed </w:t>
            </w:r>
            <w:r w:rsidR="00AE12F4" w:rsidRPr="00F114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 the year and </w:t>
            </w:r>
            <w:r w:rsidR="00AE12F4" w:rsidRPr="00F1146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</w:t>
            </w:r>
            <w:r w:rsidR="00B22B2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OT</w:t>
            </w:r>
            <w:r w:rsidR="00AE12F4" w:rsidRPr="00F1146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payment to each member</w:t>
            </w:r>
          </w:p>
        </w:tc>
        <w:tc>
          <w:tcPr>
            <w:tcW w:w="507" w:type="pct"/>
          </w:tcPr>
          <w:p w14:paraId="18A60210" w14:textId="2148A367" w:rsidR="00BC3A3A" w:rsidRDefault="007E42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524" w:type="pct"/>
          </w:tcPr>
          <w:p w14:paraId="33A9ED4A" w14:textId="5D11556B" w:rsidR="00BC3A3A" w:rsidRDefault="007E42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833" w:type="pct"/>
          </w:tcPr>
          <w:p w14:paraId="190102AE" w14:textId="5235BCC3" w:rsidR="00BC3A3A" w:rsidRPr="00DB23A2" w:rsidRDefault="004202D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B23A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TOTAL NUMBER OF COUNCILLORS</w:t>
            </w:r>
            <w:r w:rsidR="00FF6EE2" w:rsidRPr="00DB23A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9C0BDD" w:rsidRPr="00DB23A2">
              <w:rPr>
                <w:rFonts w:ascii="Arial" w:hAnsi="Arial" w:cs="Arial"/>
                <w:b/>
                <w:bCs/>
                <w:sz w:val="24"/>
                <w:szCs w:val="24"/>
              </w:rPr>
              <w:t>declined £</w:t>
            </w:r>
            <w:r w:rsidR="00672E8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9C0BDD" w:rsidRPr="00DB23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56 allowance – for costs </w:t>
            </w:r>
            <w:r w:rsidR="002E3FC9" w:rsidRPr="00DB23A2">
              <w:rPr>
                <w:rFonts w:ascii="Arial" w:hAnsi="Arial" w:cs="Arial"/>
                <w:b/>
                <w:bCs/>
                <w:sz w:val="24"/>
                <w:szCs w:val="24"/>
              </w:rPr>
              <w:t>incurred</w:t>
            </w:r>
            <w:r w:rsidR="009C0BDD" w:rsidRPr="00DB23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E3FC9">
              <w:rPr>
                <w:rFonts w:ascii="Arial" w:hAnsi="Arial" w:cs="Arial"/>
                <w:b/>
                <w:bCs/>
                <w:sz w:val="24"/>
                <w:szCs w:val="24"/>
              </w:rPr>
              <w:t>in</w:t>
            </w:r>
            <w:r w:rsidR="009C0BDD" w:rsidRPr="00DB23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respect of working from home</w:t>
            </w:r>
          </w:p>
        </w:tc>
        <w:tc>
          <w:tcPr>
            <w:tcW w:w="833" w:type="pct"/>
          </w:tcPr>
          <w:p w14:paraId="56D09C09" w14:textId="573939CA" w:rsidR="00BC3A3A" w:rsidRPr="00DB23A2" w:rsidRDefault="004202D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B23A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TOTAL NUMBER OF COUNCILLORS</w:t>
            </w:r>
            <w:r w:rsidR="009D7FE2" w:rsidRPr="00DB23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5677A" w:rsidRPr="00DB23A2">
              <w:rPr>
                <w:rFonts w:ascii="Arial" w:hAnsi="Arial" w:cs="Arial"/>
                <w:b/>
                <w:bCs/>
                <w:sz w:val="24"/>
                <w:szCs w:val="24"/>
              </w:rPr>
              <w:t>declined</w:t>
            </w:r>
            <w:r w:rsidR="009D7FE2" w:rsidRPr="00DB23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£52 allowance – for costs incurred in res</w:t>
            </w:r>
            <w:r w:rsidR="00AF6589" w:rsidRPr="00DB23A2">
              <w:rPr>
                <w:rFonts w:ascii="Arial" w:hAnsi="Arial" w:cs="Arial"/>
                <w:b/>
                <w:bCs/>
                <w:sz w:val="24"/>
                <w:szCs w:val="24"/>
              </w:rPr>
              <w:t>pect of telephone, broadband etc</w:t>
            </w:r>
          </w:p>
        </w:tc>
      </w:tr>
      <w:tr w:rsidR="00BC3A3A" w14:paraId="3D63D752" w14:textId="77777777" w:rsidTr="00DB23A2">
        <w:tc>
          <w:tcPr>
            <w:tcW w:w="834" w:type="pct"/>
          </w:tcPr>
          <w:p w14:paraId="1C408128" w14:textId="3F0D0AD0" w:rsidR="00BC3A3A" w:rsidRDefault="008834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£0</w:t>
            </w:r>
            <w:r w:rsidR="00FD38CD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469" w:type="pct"/>
          </w:tcPr>
          <w:p w14:paraId="71A7990B" w14:textId="6A9FDCDB" w:rsidR="00BC3A3A" w:rsidRDefault="00FD38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  <w:tc>
          <w:tcPr>
            <w:tcW w:w="507" w:type="pct"/>
          </w:tcPr>
          <w:p w14:paraId="45A74012" w14:textId="573F3D12" w:rsidR="00BC3A3A" w:rsidRDefault="00FD38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  <w:tc>
          <w:tcPr>
            <w:tcW w:w="524" w:type="pct"/>
          </w:tcPr>
          <w:p w14:paraId="3C51BCCB" w14:textId="4923097F" w:rsidR="00BC3A3A" w:rsidRDefault="001117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£3188.00</w:t>
            </w:r>
          </w:p>
        </w:tc>
        <w:tc>
          <w:tcPr>
            <w:tcW w:w="833" w:type="pct"/>
          </w:tcPr>
          <w:p w14:paraId="26C491D0" w14:textId="72A76674" w:rsidR="00BC3A3A" w:rsidRDefault="005163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</w:t>
            </w:r>
          </w:p>
        </w:tc>
        <w:tc>
          <w:tcPr>
            <w:tcW w:w="833" w:type="pct"/>
          </w:tcPr>
          <w:p w14:paraId="5E1A98C6" w14:textId="0B4C8301" w:rsidR="00BC3A3A" w:rsidRDefault="00F114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</w:t>
            </w:r>
          </w:p>
        </w:tc>
      </w:tr>
    </w:tbl>
    <w:p w14:paraId="03A5DCEA" w14:textId="77777777" w:rsidR="00BC3A3A" w:rsidRDefault="00BC3A3A">
      <w:pPr>
        <w:rPr>
          <w:rFonts w:ascii="Arial" w:hAnsi="Arial" w:cs="Arial"/>
          <w:sz w:val="24"/>
          <w:szCs w:val="24"/>
        </w:rPr>
      </w:pPr>
    </w:p>
    <w:sectPr w:rsidR="00BC3A3A" w:rsidSect="00B85B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C7"/>
    <w:rsid w:val="00017CD1"/>
    <w:rsid w:val="0005677A"/>
    <w:rsid w:val="00103AD9"/>
    <w:rsid w:val="00110921"/>
    <w:rsid w:val="00111711"/>
    <w:rsid w:val="0013769A"/>
    <w:rsid w:val="001635D1"/>
    <w:rsid w:val="001775CC"/>
    <w:rsid w:val="00192871"/>
    <w:rsid w:val="001E4AE4"/>
    <w:rsid w:val="002148E9"/>
    <w:rsid w:val="0029153D"/>
    <w:rsid w:val="002E3FC9"/>
    <w:rsid w:val="003475C1"/>
    <w:rsid w:val="00390180"/>
    <w:rsid w:val="003A31A3"/>
    <w:rsid w:val="004078D1"/>
    <w:rsid w:val="004202DA"/>
    <w:rsid w:val="00442A82"/>
    <w:rsid w:val="00472097"/>
    <w:rsid w:val="005163A2"/>
    <w:rsid w:val="0060253D"/>
    <w:rsid w:val="00630907"/>
    <w:rsid w:val="00672E8F"/>
    <w:rsid w:val="00672EE0"/>
    <w:rsid w:val="006B3A76"/>
    <w:rsid w:val="006B4CC0"/>
    <w:rsid w:val="00706996"/>
    <w:rsid w:val="00706B15"/>
    <w:rsid w:val="00710F92"/>
    <w:rsid w:val="00735071"/>
    <w:rsid w:val="00787844"/>
    <w:rsid w:val="007C1A0E"/>
    <w:rsid w:val="007E42EE"/>
    <w:rsid w:val="008106D9"/>
    <w:rsid w:val="008834DA"/>
    <w:rsid w:val="00910504"/>
    <w:rsid w:val="009801F2"/>
    <w:rsid w:val="009A30A0"/>
    <w:rsid w:val="009C0BDD"/>
    <w:rsid w:val="009D1489"/>
    <w:rsid w:val="009D7FE2"/>
    <w:rsid w:val="00A46B19"/>
    <w:rsid w:val="00AA1E9A"/>
    <w:rsid w:val="00AE12F4"/>
    <w:rsid w:val="00AE6B64"/>
    <w:rsid w:val="00AF6589"/>
    <w:rsid w:val="00B22B22"/>
    <w:rsid w:val="00B528CF"/>
    <w:rsid w:val="00B85BC7"/>
    <w:rsid w:val="00BC3A3A"/>
    <w:rsid w:val="00BF3B02"/>
    <w:rsid w:val="00C1447A"/>
    <w:rsid w:val="00CC29FA"/>
    <w:rsid w:val="00D434F1"/>
    <w:rsid w:val="00D5444E"/>
    <w:rsid w:val="00DB23A2"/>
    <w:rsid w:val="00DC14B1"/>
    <w:rsid w:val="00F11463"/>
    <w:rsid w:val="00F45F92"/>
    <w:rsid w:val="00F52319"/>
    <w:rsid w:val="00FD38CD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9A8AD"/>
  <w15:chartTrackingRefBased/>
  <w15:docId w15:val="{46189CE3-886C-4EAD-B774-484D4650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B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B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B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B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B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B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B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B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B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B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5B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B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5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5B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5B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5B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5B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B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5BC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85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Davy</dc:creator>
  <cp:keywords/>
  <dc:description/>
  <cp:lastModifiedBy>Philip Davy</cp:lastModifiedBy>
  <cp:revision>2</cp:revision>
  <dcterms:created xsi:type="dcterms:W3CDTF">2025-05-23T11:51:00Z</dcterms:created>
  <dcterms:modified xsi:type="dcterms:W3CDTF">2025-05-23T11:51:00Z</dcterms:modified>
</cp:coreProperties>
</file>